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43E99" w14:textId="6344C901" w:rsidR="004D1740" w:rsidRDefault="009B29DE">
      <w:pPr>
        <w:pStyle w:val="NormalWeb"/>
        <w:rPr>
          <w:sz w:val="32"/>
          <w:szCs w:val="32"/>
          <w:lang w:val="cs-CZ"/>
        </w:rPr>
      </w:pPr>
      <w:r>
        <w:rPr>
          <w:rStyle w:val="Strong"/>
          <w:sz w:val="32"/>
          <w:szCs w:val="32"/>
          <w:lang w:val="cs-CZ"/>
        </w:rPr>
        <w:t>S</w:t>
      </w:r>
      <w:r w:rsidR="004D1740">
        <w:rPr>
          <w:rStyle w:val="Strong"/>
          <w:sz w:val="32"/>
          <w:szCs w:val="32"/>
          <w:lang w:val="cs-CZ"/>
        </w:rPr>
        <w:t>MLOUVA O JISTOTNÍM ÚČTU</w:t>
      </w:r>
      <w:r w:rsidR="004D1740">
        <w:rPr>
          <w:sz w:val="32"/>
          <w:szCs w:val="32"/>
          <w:lang w:val="cs-CZ"/>
        </w:rPr>
        <w:t xml:space="preserve"> </w:t>
      </w:r>
    </w:p>
    <w:p w14:paraId="2912331F" w14:textId="77777777" w:rsidR="004D1740" w:rsidRDefault="00000000">
      <w:pPr>
        <w:jc w:val="center"/>
        <w:rPr>
          <w:rFonts w:eastAsia="Times New Roman"/>
          <w:lang w:val="cs-CZ"/>
        </w:rPr>
      </w:pPr>
      <w:r>
        <w:rPr>
          <w:rFonts w:eastAsia="Times New Roman"/>
          <w:lang w:val="cs-CZ"/>
        </w:rPr>
        <w:pict w14:anchorId="07842077">
          <v:rect id="_x0000_i1025" style="width:470.3pt;height:.75pt" o:hralign="center" o:hrstd="t" o:hrnoshade="t" o:hr="t" fillcolor="#a0a0a0" stroked="f"/>
        </w:pict>
      </w:r>
    </w:p>
    <w:p w14:paraId="3A40074D" w14:textId="77777777" w:rsidR="004D1740" w:rsidRDefault="004D1740">
      <w:pPr>
        <w:jc w:val="both"/>
        <w:rPr>
          <w:lang w:val="cs-CZ"/>
        </w:rPr>
      </w:pPr>
      <w:r>
        <w:rPr>
          <w:lang w:val="cs-CZ"/>
        </w:rPr>
        <w:t xml:space="preserve">UniCredit Bank Czech Republic and Slovakia, a.s., se sídlem Praha 4 – Michle, Želetavská 1525/1, PSČ 140 92, IČO 64948242, zapsaná v obchodním rejstříku vedeném Městským soudem v Praze, oddíl B, vložka 3608 </w:t>
      </w:r>
    </w:p>
    <w:p w14:paraId="4564E30C" w14:textId="77777777" w:rsidR="004D1740" w:rsidRDefault="004D1740">
      <w:pPr>
        <w:pStyle w:val="NormalWeb"/>
        <w:rPr>
          <w:lang w:val="cs-CZ"/>
        </w:rPr>
      </w:pPr>
      <w:r>
        <w:rPr>
          <w:lang w:val="cs-CZ"/>
        </w:rPr>
        <w:t>(dále jen "</w:t>
      </w:r>
      <w:r>
        <w:rPr>
          <w:rStyle w:val="Strong"/>
          <w:lang w:val="cs-CZ"/>
        </w:rPr>
        <w:t>Banka</w:t>
      </w:r>
      <w:r>
        <w:rPr>
          <w:lang w:val="cs-CZ"/>
        </w:rPr>
        <w:t xml:space="preserve">") </w:t>
      </w:r>
    </w:p>
    <w:p w14:paraId="4A67278A" w14:textId="77777777" w:rsidR="004D1740" w:rsidRDefault="004D1740">
      <w:pPr>
        <w:pStyle w:val="NormalWeb"/>
        <w:rPr>
          <w:lang w:val="cs-CZ"/>
        </w:rPr>
      </w:pPr>
      <w:r>
        <w:rPr>
          <w:lang w:val="cs-CZ"/>
        </w:rPr>
        <w:t xml:space="preserve">a </w:t>
      </w:r>
    </w:p>
    <w:p w14:paraId="7264AD59" w14:textId="2325FD28" w:rsidR="004D1740" w:rsidRDefault="004D1740">
      <w:pPr>
        <w:rPr>
          <w:rFonts w:eastAsia="Times New Roman"/>
          <w:lang w:val="cs-CZ"/>
        </w:rPr>
      </w:pPr>
      <w:r>
        <w:rPr>
          <w:rFonts w:eastAsia="Times New Roman"/>
          <w:lang w:val="cs-CZ"/>
        </w:rPr>
        <w:t xml:space="preserve">1. </w:t>
      </w:r>
      <w:r w:rsidR="00E9155C" w:rsidRPr="00E9155C">
        <w:rPr>
          <w:rFonts w:eastAsia="Times New Roman"/>
          <w:b/>
          <w:bCs/>
          <w:highlight w:val="yellow"/>
          <w:lang w:val="cs-CZ"/>
        </w:rPr>
        <w:t>……………</w:t>
      </w:r>
      <w:proofErr w:type="gramStart"/>
      <w:r w:rsidR="00E9155C" w:rsidRPr="00E9155C">
        <w:rPr>
          <w:rFonts w:eastAsia="Times New Roman"/>
          <w:b/>
          <w:bCs/>
          <w:highlight w:val="yellow"/>
          <w:lang w:val="cs-CZ"/>
        </w:rPr>
        <w:t>…….</w:t>
      </w:r>
      <w:proofErr w:type="gramEnd"/>
      <w:r>
        <w:rPr>
          <w:rFonts w:eastAsia="Times New Roman"/>
          <w:lang w:val="cs-CZ"/>
        </w:rPr>
        <w:t xml:space="preserve">, r.č. </w:t>
      </w:r>
      <w:r w:rsidR="00E9155C" w:rsidRPr="00E9155C">
        <w:rPr>
          <w:rFonts w:eastAsia="Times New Roman"/>
          <w:highlight w:val="yellow"/>
          <w:lang w:val="cs-CZ"/>
        </w:rPr>
        <w:t>…………………</w:t>
      </w:r>
      <w:r>
        <w:rPr>
          <w:rFonts w:eastAsia="Times New Roman"/>
          <w:lang w:val="cs-CZ"/>
        </w:rPr>
        <w:br/>
        <w:t xml:space="preserve">trvale bytem </w:t>
      </w:r>
      <w:r w:rsidR="00E9155C" w:rsidRPr="00E9155C">
        <w:rPr>
          <w:rFonts w:eastAsia="Times New Roman"/>
          <w:highlight w:val="yellow"/>
          <w:lang w:val="cs-CZ"/>
        </w:rPr>
        <w:t>………………………………</w:t>
      </w:r>
      <w:r>
        <w:rPr>
          <w:rFonts w:eastAsia="Times New Roman"/>
          <w:lang w:val="cs-CZ"/>
        </w:rPr>
        <w:br/>
        <w:t xml:space="preserve">e-mail: </w:t>
      </w:r>
      <w:r w:rsidR="00E9155C" w:rsidRPr="00E9155C">
        <w:rPr>
          <w:highlight w:val="yellow"/>
          <w:lang w:val="cs-CZ"/>
        </w:rPr>
        <w:t>………………………</w:t>
      </w:r>
    </w:p>
    <w:p w14:paraId="1B5B35D5" w14:textId="77777777" w:rsidR="004D1740" w:rsidRDefault="004D1740">
      <w:pPr>
        <w:pStyle w:val="NormalWeb"/>
        <w:rPr>
          <w:lang w:val="cs-CZ"/>
        </w:rPr>
      </w:pPr>
      <w:r>
        <w:rPr>
          <w:lang w:val="cs-CZ"/>
        </w:rPr>
        <w:t>(dále jen "</w:t>
      </w:r>
      <w:r>
        <w:rPr>
          <w:rStyle w:val="Strong"/>
          <w:lang w:val="cs-CZ"/>
        </w:rPr>
        <w:t>Prodávající</w:t>
      </w:r>
      <w:r>
        <w:rPr>
          <w:lang w:val="cs-CZ"/>
        </w:rPr>
        <w:t xml:space="preserve">") </w:t>
      </w:r>
    </w:p>
    <w:p w14:paraId="152CE1A8" w14:textId="77777777" w:rsidR="004D1740" w:rsidRDefault="004D1740">
      <w:pPr>
        <w:pStyle w:val="NormalWeb"/>
        <w:rPr>
          <w:lang w:val="cs-CZ"/>
        </w:rPr>
      </w:pPr>
      <w:r>
        <w:rPr>
          <w:lang w:val="cs-CZ"/>
        </w:rPr>
        <w:t xml:space="preserve">a </w:t>
      </w:r>
    </w:p>
    <w:p w14:paraId="1ED7F384" w14:textId="77777777" w:rsidR="00E9155C" w:rsidRDefault="00E9155C" w:rsidP="00E9155C">
      <w:pPr>
        <w:rPr>
          <w:rFonts w:eastAsia="Times New Roman"/>
          <w:lang w:val="cs-CZ"/>
        </w:rPr>
      </w:pPr>
      <w:r>
        <w:rPr>
          <w:rFonts w:eastAsia="Times New Roman"/>
          <w:lang w:val="cs-CZ"/>
        </w:rPr>
        <w:t xml:space="preserve">1. </w:t>
      </w:r>
      <w:r w:rsidRPr="00E9155C">
        <w:rPr>
          <w:rFonts w:eastAsia="Times New Roman"/>
          <w:b/>
          <w:bCs/>
          <w:highlight w:val="yellow"/>
          <w:lang w:val="cs-CZ"/>
        </w:rPr>
        <w:t>……………</w:t>
      </w:r>
      <w:proofErr w:type="gramStart"/>
      <w:r w:rsidRPr="00E9155C">
        <w:rPr>
          <w:rFonts w:eastAsia="Times New Roman"/>
          <w:b/>
          <w:bCs/>
          <w:highlight w:val="yellow"/>
          <w:lang w:val="cs-CZ"/>
        </w:rPr>
        <w:t>…….</w:t>
      </w:r>
      <w:proofErr w:type="gramEnd"/>
      <w:r>
        <w:rPr>
          <w:rFonts w:eastAsia="Times New Roman"/>
          <w:lang w:val="cs-CZ"/>
        </w:rPr>
        <w:t xml:space="preserve">, </w:t>
      </w:r>
      <w:proofErr w:type="spellStart"/>
      <w:r>
        <w:rPr>
          <w:rFonts w:eastAsia="Times New Roman"/>
          <w:lang w:val="cs-CZ"/>
        </w:rPr>
        <w:t>r.č</w:t>
      </w:r>
      <w:proofErr w:type="spellEnd"/>
      <w:r>
        <w:rPr>
          <w:rFonts w:eastAsia="Times New Roman"/>
          <w:lang w:val="cs-CZ"/>
        </w:rPr>
        <w:t xml:space="preserve">. </w:t>
      </w:r>
      <w:r w:rsidRPr="00E9155C">
        <w:rPr>
          <w:rFonts w:eastAsia="Times New Roman"/>
          <w:highlight w:val="yellow"/>
          <w:lang w:val="cs-CZ"/>
        </w:rPr>
        <w:t>…………………</w:t>
      </w:r>
      <w:r>
        <w:rPr>
          <w:rFonts w:eastAsia="Times New Roman"/>
          <w:lang w:val="cs-CZ"/>
        </w:rPr>
        <w:br/>
        <w:t xml:space="preserve">trvale bytem </w:t>
      </w:r>
      <w:r w:rsidRPr="00E9155C">
        <w:rPr>
          <w:rFonts w:eastAsia="Times New Roman"/>
          <w:highlight w:val="yellow"/>
          <w:lang w:val="cs-CZ"/>
        </w:rPr>
        <w:t>………………………………</w:t>
      </w:r>
      <w:r>
        <w:rPr>
          <w:rFonts w:eastAsia="Times New Roman"/>
          <w:lang w:val="cs-CZ"/>
        </w:rPr>
        <w:br/>
        <w:t xml:space="preserve">e-mail: </w:t>
      </w:r>
      <w:r w:rsidRPr="00E9155C">
        <w:rPr>
          <w:highlight w:val="yellow"/>
          <w:lang w:val="cs-CZ"/>
        </w:rPr>
        <w:t>………………………</w:t>
      </w:r>
    </w:p>
    <w:p w14:paraId="3953EC33" w14:textId="77777777" w:rsidR="004D1740" w:rsidRDefault="004D1740">
      <w:pPr>
        <w:pStyle w:val="NormalWeb"/>
        <w:rPr>
          <w:lang w:val="cs-CZ"/>
        </w:rPr>
      </w:pPr>
      <w:r>
        <w:rPr>
          <w:lang w:val="cs-CZ"/>
        </w:rPr>
        <w:t>(dále jen "</w:t>
      </w:r>
      <w:r>
        <w:rPr>
          <w:rStyle w:val="Strong"/>
          <w:lang w:val="cs-CZ"/>
        </w:rPr>
        <w:t>Kupující</w:t>
      </w:r>
      <w:r>
        <w:rPr>
          <w:lang w:val="cs-CZ"/>
        </w:rPr>
        <w:t xml:space="preserve">") </w:t>
      </w:r>
    </w:p>
    <w:p w14:paraId="639937D1" w14:textId="77777777" w:rsidR="004D1740" w:rsidRDefault="004D1740">
      <w:pPr>
        <w:pStyle w:val="NormalWeb"/>
        <w:rPr>
          <w:lang w:val="cs-CZ"/>
        </w:rPr>
      </w:pPr>
      <w:r>
        <w:rPr>
          <w:lang w:val="cs-CZ"/>
        </w:rPr>
        <w:t xml:space="preserve">uzavírají tuto </w:t>
      </w:r>
    </w:p>
    <w:p w14:paraId="07FF3E39" w14:textId="77777777" w:rsidR="004D1740" w:rsidRDefault="004D1740">
      <w:pPr>
        <w:pStyle w:val="NormalWeb"/>
        <w:jc w:val="center"/>
        <w:rPr>
          <w:lang w:val="cs-CZ"/>
        </w:rPr>
      </w:pPr>
      <w:r>
        <w:rPr>
          <w:rStyle w:val="Strong"/>
          <w:lang w:val="cs-CZ"/>
        </w:rPr>
        <w:t>SMLOUVU O JISTOTNÍM ÚČTU:</w:t>
      </w:r>
      <w:r>
        <w:rPr>
          <w:lang w:val="cs-CZ"/>
        </w:rPr>
        <w:t xml:space="preserve"> </w:t>
      </w:r>
    </w:p>
    <w:p w14:paraId="6602B665" w14:textId="77777777" w:rsidR="004D1740" w:rsidRDefault="004D1740">
      <w:pPr>
        <w:pStyle w:val="NormalWeb"/>
        <w:jc w:val="center"/>
        <w:rPr>
          <w:lang w:val="cs-CZ"/>
        </w:rPr>
      </w:pPr>
      <w:r>
        <w:rPr>
          <w:rStyle w:val="Strong"/>
          <w:lang w:val="cs-CZ"/>
        </w:rPr>
        <w:t>I.</w:t>
      </w:r>
      <w:r>
        <w:rPr>
          <w:lang w:val="cs-CZ"/>
        </w:rPr>
        <w:t xml:space="preserve"> </w:t>
      </w:r>
    </w:p>
    <w:p w14:paraId="111C288C" w14:textId="77777777" w:rsidR="004D1740" w:rsidRDefault="004D1740">
      <w:pPr>
        <w:pStyle w:val="NormalWeb"/>
        <w:jc w:val="center"/>
        <w:rPr>
          <w:lang w:val="cs-CZ"/>
        </w:rPr>
      </w:pPr>
      <w:r>
        <w:rPr>
          <w:rStyle w:val="Strong"/>
          <w:lang w:val="cs-CZ"/>
        </w:rPr>
        <w:t>JISTOTNÍ ÚČET</w:t>
      </w:r>
      <w:r>
        <w:rPr>
          <w:lang w:val="cs-CZ"/>
        </w:rPr>
        <w:t xml:space="preserve"> </w:t>
      </w:r>
    </w:p>
    <w:p w14:paraId="004C2CE6" w14:textId="77777777" w:rsidR="004D1740" w:rsidRDefault="004D1740">
      <w:pPr>
        <w:jc w:val="both"/>
        <w:rPr>
          <w:lang w:val="cs-CZ"/>
        </w:rPr>
      </w:pPr>
      <w:r>
        <w:rPr>
          <w:lang w:val="cs-CZ"/>
        </w:rPr>
        <w:t xml:space="preserve">1. Banka na základě této smlouvy zřídí v den uzavření této smlouvy jistotní účet č. </w:t>
      </w:r>
      <w:r>
        <w:rPr>
          <w:rStyle w:val="Strong"/>
          <w:color w:val="FF0000"/>
          <w:lang w:val="cs-CZ"/>
        </w:rPr>
        <w:t>………(</w:t>
      </w:r>
      <w:r>
        <w:rPr>
          <w:rStyle w:val="Strong"/>
          <w:color w:val="FF0000"/>
          <w:u w:val="single"/>
          <w:lang w:val="cs-CZ"/>
        </w:rPr>
        <w:t>Č. JISTOTNÍHO ÚČTU DOPLNÍ UCB</w:t>
      </w:r>
      <w:r>
        <w:rPr>
          <w:rStyle w:val="Strong"/>
          <w:color w:val="FF0000"/>
          <w:lang w:val="cs-CZ"/>
        </w:rPr>
        <w:t>)……….</w:t>
      </w:r>
      <w:r>
        <w:rPr>
          <w:lang w:val="cs-CZ"/>
        </w:rPr>
        <w:t>/2700 vedený v českých korunách (Kč)</w:t>
      </w:r>
      <w:r>
        <w:rPr>
          <w:rStyle w:val="Strong"/>
          <w:lang w:val="cs-CZ"/>
        </w:rPr>
        <w:t xml:space="preserve"> </w:t>
      </w:r>
      <w:r>
        <w:rPr>
          <w:lang w:val="cs-CZ"/>
        </w:rPr>
        <w:t>(dále jen "</w:t>
      </w:r>
      <w:r>
        <w:rPr>
          <w:rStyle w:val="Strong"/>
          <w:lang w:val="cs-CZ"/>
        </w:rPr>
        <w:t>jistotní účet</w:t>
      </w:r>
      <w:r>
        <w:rPr>
          <w:lang w:val="cs-CZ"/>
        </w:rPr>
        <w:t>").</w:t>
      </w:r>
    </w:p>
    <w:p w14:paraId="05632337" w14:textId="77777777" w:rsidR="004D1740" w:rsidRDefault="004D1740">
      <w:pPr>
        <w:rPr>
          <w:rFonts w:eastAsia="Times New Roman"/>
          <w:lang w:val="cs-CZ"/>
        </w:rPr>
      </w:pPr>
    </w:p>
    <w:p w14:paraId="474A962D" w14:textId="24B3F451" w:rsidR="004D1740" w:rsidRDefault="004D1740">
      <w:pPr>
        <w:jc w:val="both"/>
        <w:rPr>
          <w:lang w:val="cs-CZ"/>
        </w:rPr>
      </w:pPr>
      <w:r>
        <w:rPr>
          <w:lang w:val="cs-CZ"/>
        </w:rPr>
        <w:t xml:space="preserve">2. Tento jistotní účet má sloužit k vypořádání ceny, resp. části ceny, kterou má Kupující uhradit na základě kupní smlouvy, kterou Prodávající a Kupující uzavřeli dne </w:t>
      </w:r>
      <w:r w:rsidR="00E9155C" w:rsidRPr="00E9155C">
        <w:rPr>
          <w:rStyle w:val="Strong"/>
          <w:b w:val="0"/>
          <w:bCs w:val="0"/>
          <w:highlight w:val="yellow"/>
          <w:lang w:val="cs-CZ"/>
        </w:rPr>
        <w:t>………………</w:t>
      </w:r>
      <w:r w:rsidRPr="006B0D22">
        <w:rPr>
          <w:lang w:val="cs-CZ"/>
        </w:rPr>
        <w:t xml:space="preserve"> </w:t>
      </w:r>
      <w:r>
        <w:rPr>
          <w:lang w:val="cs-CZ"/>
        </w:rPr>
        <w:t xml:space="preserve">(dále jen "Kupní smlouva"). Předmětem Kupní smlouvy je převod vlastnického práva k nemovitostem specifikovaným na výpisu z katastru nemovitostí, který je přílohou této smlouvy (vše souhrnně dále jen "Nemovitost"). </w:t>
      </w:r>
    </w:p>
    <w:p w14:paraId="1370101B" w14:textId="77777777" w:rsidR="004D1740" w:rsidRDefault="004D1740">
      <w:pPr>
        <w:pStyle w:val="NormalWeb"/>
        <w:jc w:val="center"/>
        <w:rPr>
          <w:lang w:val="cs-CZ"/>
        </w:rPr>
      </w:pPr>
      <w:r>
        <w:rPr>
          <w:rStyle w:val="Strong"/>
          <w:lang w:val="cs-CZ"/>
        </w:rPr>
        <w:t>II.</w:t>
      </w:r>
      <w:r>
        <w:rPr>
          <w:lang w:val="cs-CZ"/>
        </w:rPr>
        <w:t xml:space="preserve"> </w:t>
      </w:r>
    </w:p>
    <w:p w14:paraId="4D26A1A4" w14:textId="77777777" w:rsidR="004D1740" w:rsidRDefault="004D1740">
      <w:pPr>
        <w:pStyle w:val="NormalWeb"/>
        <w:jc w:val="center"/>
        <w:rPr>
          <w:lang w:val="cs-CZ"/>
        </w:rPr>
      </w:pPr>
      <w:r>
        <w:rPr>
          <w:rStyle w:val="Strong"/>
          <w:lang w:val="cs-CZ"/>
        </w:rPr>
        <w:t>SPRAVOVANÁ ČÁSTKA</w:t>
      </w:r>
      <w:r>
        <w:rPr>
          <w:lang w:val="cs-CZ"/>
        </w:rPr>
        <w:t xml:space="preserve"> </w:t>
      </w:r>
    </w:p>
    <w:p w14:paraId="5E13F581" w14:textId="27F37E70" w:rsidR="004D1740" w:rsidRDefault="004D1740">
      <w:pPr>
        <w:jc w:val="both"/>
        <w:rPr>
          <w:lang w:val="cs-CZ"/>
        </w:rPr>
      </w:pPr>
      <w:r>
        <w:rPr>
          <w:lang w:val="cs-CZ"/>
        </w:rPr>
        <w:lastRenderedPageBreak/>
        <w:t>1. Kupující se zavazuje do</w:t>
      </w:r>
      <w:r w:rsidR="006B0D22">
        <w:rPr>
          <w:lang w:val="cs-CZ"/>
        </w:rPr>
        <w:t xml:space="preserve"> 14 pracovních</w:t>
      </w:r>
      <w:r w:rsidR="006B0D22" w:rsidRPr="006B0D22">
        <w:rPr>
          <w:lang w:val="cs-CZ"/>
        </w:rPr>
        <w:t xml:space="preserve"> dnů </w:t>
      </w:r>
      <w:r>
        <w:rPr>
          <w:lang w:val="cs-CZ"/>
        </w:rPr>
        <w:t xml:space="preserve">převést na jistotní účet částku v celkové výši </w:t>
      </w:r>
      <w:r w:rsidR="00E9155C" w:rsidRPr="00E9155C">
        <w:rPr>
          <w:highlight w:val="yellow"/>
          <w:lang w:val="cs-CZ"/>
        </w:rPr>
        <w:t>……………</w:t>
      </w:r>
      <w:proofErr w:type="gramStart"/>
      <w:r w:rsidR="00E9155C" w:rsidRPr="00E9155C">
        <w:rPr>
          <w:highlight w:val="yellow"/>
          <w:lang w:val="cs-CZ"/>
        </w:rPr>
        <w:t>…….</w:t>
      </w:r>
      <w:proofErr w:type="gramEnd"/>
      <w:r w:rsidR="00E9155C" w:rsidRPr="00E9155C">
        <w:rPr>
          <w:highlight w:val="yellow"/>
          <w:lang w:val="cs-CZ"/>
        </w:rPr>
        <w:t>.</w:t>
      </w:r>
      <w:r>
        <w:rPr>
          <w:lang w:val="cs-CZ"/>
        </w:rPr>
        <w:t xml:space="preserve"> Kč (dále jen "</w:t>
      </w:r>
      <w:r>
        <w:rPr>
          <w:rStyle w:val="Strong"/>
          <w:lang w:val="cs-CZ"/>
        </w:rPr>
        <w:t>spravovaná částka</w:t>
      </w:r>
      <w:r>
        <w:rPr>
          <w:lang w:val="cs-CZ"/>
        </w:rPr>
        <w:t xml:space="preserve">"). </w:t>
      </w:r>
    </w:p>
    <w:p w14:paraId="3EBE4967" w14:textId="77777777" w:rsidR="004D1740" w:rsidRDefault="004D1740">
      <w:pPr>
        <w:rPr>
          <w:rFonts w:eastAsia="Times New Roman"/>
          <w:lang w:val="cs-CZ"/>
        </w:rPr>
      </w:pPr>
    </w:p>
    <w:p w14:paraId="2512D1B5" w14:textId="27CB1D6F" w:rsidR="004D1740" w:rsidRDefault="004D1740">
      <w:pPr>
        <w:jc w:val="both"/>
        <w:rPr>
          <w:lang w:val="cs-CZ"/>
        </w:rPr>
      </w:pPr>
      <w:r>
        <w:rPr>
          <w:lang w:val="cs-CZ"/>
        </w:rPr>
        <w:t xml:space="preserve">2. Banka se na základě ujednání s Kupujícím a Prodávajícím zavazuje spravovanou částku převzít do své správy a vyplatit ji v souladu s ustanoveními této smlouvy. O připsání spravované částky na jistotní účet bude Banka Prodávajícího i Kupujícího informovat, a to prostřednictvím e-mailu. Prodávající a Kupující souhlasí, aby Banka o připsání spravované částky na jistotní účet poskytla informaci zprostředkovateli kupní smlouvy Miroslav Rybín, IČO: 01547968, sídlo: Jateční 1444/13, 170 00 Praha, Holešovice , e-mail: </w:t>
      </w:r>
      <w:r w:rsidR="006B0D22" w:rsidRPr="006B0D22">
        <w:rPr>
          <w:rStyle w:val="Strong"/>
          <w:b w:val="0"/>
          <w:bCs w:val="0"/>
          <w:lang w:val="cs-CZ"/>
        </w:rPr>
        <w:t>mirek@rybin.estate</w:t>
      </w:r>
      <w:r w:rsidR="006B0D22" w:rsidRPr="006B0D22">
        <w:rPr>
          <w:rStyle w:val="Strong"/>
          <w:lang w:val="cs-CZ"/>
        </w:rPr>
        <w:t xml:space="preserve"> </w:t>
      </w:r>
      <w:r>
        <w:rPr>
          <w:lang w:val="cs-CZ"/>
        </w:rPr>
        <w:t>(dále jen "</w:t>
      </w:r>
      <w:r>
        <w:rPr>
          <w:rStyle w:val="Strong"/>
          <w:lang w:val="cs-CZ"/>
        </w:rPr>
        <w:t>Zprostředkovatel</w:t>
      </w:r>
      <w:r>
        <w:rPr>
          <w:lang w:val="cs-CZ"/>
        </w:rPr>
        <w:t xml:space="preserve">"). </w:t>
      </w:r>
    </w:p>
    <w:p w14:paraId="5E03C5B3" w14:textId="77777777" w:rsidR="004D1740" w:rsidRDefault="004D1740">
      <w:pPr>
        <w:rPr>
          <w:rFonts w:eastAsia="Times New Roman"/>
          <w:lang w:val="cs-CZ"/>
        </w:rPr>
      </w:pPr>
    </w:p>
    <w:p w14:paraId="51C43FAA" w14:textId="77777777" w:rsidR="004D1740" w:rsidRDefault="004D1740">
      <w:pPr>
        <w:jc w:val="both"/>
        <w:rPr>
          <w:lang w:val="cs-CZ"/>
        </w:rPr>
      </w:pPr>
      <w:r>
        <w:rPr>
          <w:lang w:val="cs-CZ"/>
        </w:rPr>
        <w:t xml:space="preserve">3. Prodávající a Kupující berou na vědomí, že vklad podle této smlouvy je pojištěn u Garančního systému finančního trhu (Fondu pojištění vkladů) ve smyslu příslušných ustanovení zákona č. 21/1992 Sb., o bankách, v platném znění. Nebude-li vklad k dispozici z důvodu neschopnosti Banky dostát svým finančním závazkům, vyplatí Garanční systém finančního trhu (Fond pojištění vkladů) Prodávajícímu nebo Kupujícímu náhradu za vklad do výše stanoveného limitu. Výplata náhrad se provede v českých korunách a činí nejvýše částku odpovídající EUR 100.000 na klienta. V případě účtů s více spolumajiteli se podíl každého klienta započítává do jeho limitu EUR 100.000 samostatně. V některých případech stanovených zákonem o bankách jsou vklady chráněny i nad hranicí částky odpovídající EUR 100.000, ale nejvýše do částky odpovídající EUR 200.000. Výplata náhrady vkladů v českých korunách do limitu pojištění bude zahájena nejpozději do 7 pracovních dní od rozhodného dne, tj. dne, kdy Česká národní banka vydá oznámení o neschopnosti Banky dostát závazkům vůči oprávněným osobám za zákonných a smluvních podmínek. Další informace lze získat na www.fpv.cz nebo přímo u Garančního systému finančního trhu (Fondu pojištění vkladů), Týn 639, 110 00 Praha 1. </w:t>
      </w:r>
    </w:p>
    <w:p w14:paraId="70CB3C37" w14:textId="77777777" w:rsidR="004D1740" w:rsidRDefault="004D1740">
      <w:pPr>
        <w:rPr>
          <w:rFonts w:eastAsia="Times New Roman"/>
          <w:lang w:val="cs-CZ"/>
        </w:rPr>
      </w:pPr>
    </w:p>
    <w:p w14:paraId="3FD1F38E" w14:textId="77777777" w:rsidR="004D1740" w:rsidRDefault="004D1740">
      <w:pPr>
        <w:jc w:val="both"/>
        <w:rPr>
          <w:lang w:val="cs-CZ"/>
        </w:rPr>
      </w:pPr>
      <w:r>
        <w:rPr>
          <w:lang w:val="cs-CZ"/>
        </w:rPr>
        <w:t>4. V případě, že do 90 kalendářních dnů ode dne uzavření této smlouvy nebude spravovaná částka na jistotní účet v plné výši převedena, Banka jistotní účet zruší, a tím skončí i platnost této smlouvy. Případný zůstatek jistotního účtu Banka poukáže zpět na účet/účty, z něhož/nichž byla částka na jistotní účet zaslána. O zrušení jistotního účtu, resp. provedené transakci, bude Banka Prodávajícího i Kupujícího informovat, a to prostřednictvím e-mailu.</w:t>
      </w:r>
    </w:p>
    <w:p w14:paraId="747965E0" w14:textId="77777777" w:rsidR="004D1740" w:rsidRDefault="004D1740">
      <w:pPr>
        <w:pStyle w:val="NormalWeb"/>
        <w:jc w:val="center"/>
        <w:rPr>
          <w:lang w:val="cs-CZ"/>
        </w:rPr>
      </w:pPr>
      <w:r>
        <w:rPr>
          <w:rStyle w:val="Strong"/>
          <w:lang w:val="cs-CZ"/>
        </w:rPr>
        <w:t>III.</w:t>
      </w:r>
      <w:r>
        <w:rPr>
          <w:lang w:val="cs-CZ"/>
        </w:rPr>
        <w:t xml:space="preserve"> </w:t>
      </w:r>
    </w:p>
    <w:p w14:paraId="704633AA" w14:textId="77777777" w:rsidR="004D1740" w:rsidRDefault="004D1740">
      <w:pPr>
        <w:pStyle w:val="NormalWeb"/>
        <w:jc w:val="center"/>
        <w:rPr>
          <w:lang w:val="cs-CZ"/>
        </w:rPr>
      </w:pPr>
      <w:r>
        <w:rPr>
          <w:rStyle w:val="Strong"/>
          <w:lang w:val="cs-CZ"/>
        </w:rPr>
        <w:t>UVOLNĚNÍ SPRAVOVANÉ ČÁSTKY</w:t>
      </w:r>
      <w:r>
        <w:rPr>
          <w:lang w:val="cs-CZ"/>
        </w:rPr>
        <w:t xml:space="preserve"> </w:t>
      </w:r>
    </w:p>
    <w:p w14:paraId="5038F32C" w14:textId="77777777" w:rsidR="004D1740" w:rsidRDefault="004D1740">
      <w:pPr>
        <w:rPr>
          <w:rFonts w:eastAsia="Times New Roman"/>
          <w:lang w:val="cs-CZ"/>
        </w:rPr>
      </w:pPr>
      <w:r>
        <w:rPr>
          <w:rFonts w:eastAsia="Times New Roman"/>
          <w:lang w:val="cs-CZ"/>
        </w:rPr>
        <w:t xml:space="preserve">1. </w:t>
      </w:r>
    </w:p>
    <w:p w14:paraId="33D5C6E9" w14:textId="77777777" w:rsidR="004D1740" w:rsidRDefault="004D1740">
      <w:pPr>
        <w:jc w:val="both"/>
        <w:rPr>
          <w:lang w:val="cs-CZ"/>
        </w:rPr>
      </w:pPr>
      <w:r>
        <w:rPr>
          <w:lang w:val="cs-CZ"/>
        </w:rPr>
        <w:t xml:space="preserve">a) Banka je povinna převést částku </w:t>
      </w:r>
    </w:p>
    <w:p w14:paraId="2B3CB003" w14:textId="169F580D" w:rsidR="004D1740" w:rsidRDefault="00E9155C">
      <w:pPr>
        <w:numPr>
          <w:ilvl w:val="0"/>
          <w:numId w:val="1"/>
        </w:numPr>
        <w:spacing w:before="100" w:beforeAutospacing="1" w:after="100" w:afterAutospacing="1"/>
        <w:rPr>
          <w:rFonts w:eastAsia="Times New Roman"/>
          <w:lang w:val="cs-CZ"/>
        </w:rPr>
      </w:pPr>
      <w:r w:rsidRPr="00E9155C">
        <w:rPr>
          <w:rFonts w:eastAsia="Times New Roman"/>
          <w:highlight w:val="yellow"/>
          <w:lang w:val="cs-CZ"/>
        </w:rPr>
        <w:t>………………..</w:t>
      </w:r>
      <w:r w:rsidR="004D1740">
        <w:rPr>
          <w:rFonts w:eastAsia="Times New Roman"/>
          <w:lang w:val="cs-CZ"/>
        </w:rPr>
        <w:t xml:space="preserve"> Kč na účet prodávajícího č. </w:t>
      </w:r>
      <w:r w:rsidRPr="00E9155C">
        <w:rPr>
          <w:rFonts w:eastAsia="Times New Roman"/>
          <w:highlight w:val="yellow"/>
          <w:lang w:val="cs-CZ"/>
        </w:rPr>
        <w:t>…………</w:t>
      </w:r>
      <w:proofErr w:type="gramStart"/>
      <w:r w:rsidRPr="00E9155C">
        <w:rPr>
          <w:rFonts w:eastAsia="Times New Roman"/>
          <w:highlight w:val="yellow"/>
          <w:lang w:val="cs-CZ"/>
        </w:rPr>
        <w:t>…….</w:t>
      </w:r>
      <w:proofErr w:type="gramEnd"/>
      <w:r w:rsidRPr="00E9155C">
        <w:rPr>
          <w:rFonts w:eastAsia="Times New Roman"/>
          <w:highlight w:val="yellow"/>
          <w:lang w:val="cs-CZ"/>
        </w:rPr>
        <w:t>.</w:t>
      </w:r>
      <w:r w:rsidR="004D1740">
        <w:rPr>
          <w:rFonts w:eastAsia="Times New Roman"/>
          <w:lang w:val="cs-CZ"/>
        </w:rPr>
        <w:t xml:space="preserve">, </w:t>
      </w:r>
      <w:r w:rsidRPr="00E9155C">
        <w:rPr>
          <w:rFonts w:eastAsia="Times New Roman"/>
          <w:highlight w:val="yellow"/>
          <w:lang w:val="cs-CZ"/>
        </w:rPr>
        <w:t>……………………</w:t>
      </w:r>
      <w:proofErr w:type="gramStart"/>
      <w:r w:rsidRPr="00E9155C">
        <w:rPr>
          <w:rFonts w:eastAsia="Times New Roman"/>
          <w:highlight w:val="yellow"/>
          <w:lang w:val="cs-CZ"/>
        </w:rPr>
        <w:t>…….</w:t>
      </w:r>
      <w:proofErr w:type="gramEnd"/>
      <w:r w:rsidRPr="00E9155C">
        <w:rPr>
          <w:rFonts w:eastAsia="Times New Roman"/>
          <w:highlight w:val="yellow"/>
          <w:lang w:val="cs-CZ"/>
        </w:rPr>
        <w:t>.</w:t>
      </w:r>
      <w:r w:rsidR="004D1740">
        <w:rPr>
          <w:rFonts w:eastAsia="Times New Roman"/>
          <w:lang w:val="cs-CZ"/>
        </w:rPr>
        <w:t xml:space="preserve"> </w:t>
      </w:r>
    </w:p>
    <w:p w14:paraId="523934FC" w14:textId="77777777" w:rsidR="004D1740" w:rsidRDefault="004D1740">
      <w:pPr>
        <w:rPr>
          <w:rFonts w:eastAsia="Times New Roman"/>
          <w:lang w:val="cs-CZ"/>
        </w:rPr>
      </w:pPr>
    </w:p>
    <w:p w14:paraId="77B295D7" w14:textId="77777777" w:rsidR="004D1740" w:rsidRDefault="004D1740">
      <w:pPr>
        <w:jc w:val="both"/>
        <w:rPr>
          <w:lang w:val="cs-CZ"/>
        </w:rPr>
      </w:pPr>
      <w:r>
        <w:rPr>
          <w:lang w:val="cs-CZ"/>
        </w:rPr>
        <w:t>za předpokladu, že jí budou předloženy originály nebo úředně ověřené kopie následujících dokumentů:</w:t>
      </w:r>
    </w:p>
    <w:p w14:paraId="192B4155" w14:textId="77777777" w:rsidR="004D1740" w:rsidRDefault="004D1740">
      <w:pPr>
        <w:rPr>
          <w:rFonts w:eastAsia="Times New Roman"/>
          <w:lang w:val="cs-CZ"/>
        </w:rPr>
      </w:pPr>
    </w:p>
    <w:p w14:paraId="2B7626D5" w14:textId="6A11E04A" w:rsidR="004D1740" w:rsidRDefault="004D1740">
      <w:pPr>
        <w:numPr>
          <w:ilvl w:val="0"/>
          <w:numId w:val="2"/>
        </w:numPr>
        <w:jc w:val="both"/>
        <w:rPr>
          <w:lang w:val="cs-CZ"/>
        </w:rPr>
      </w:pPr>
      <w:r>
        <w:rPr>
          <w:lang w:val="cs-CZ"/>
        </w:rPr>
        <w:t xml:space="preserve">výpis z katastru nemovitostí pro obec </w:t>
      </w:r>
      <w:r w:rsidR="00F31DC9" w:rsidRPr="00F31DC9">
        <w:rPr>
          <w:highlight w:val="yellow"/>
          <w:lang w:val="cs-CZ"/>
        </w:rPr>
        <w:t>…</w:t>
      </w:r>
      <w:r w:rsidR="00F31DC9">
        <w:rPr>
          <w:highlight w:val="yellow"/>
          <w:lang w:val="cs-CZ"/>
        </w:rPr>
        <w:t>…..</w:t>
      </w:r>
      <w:r w:rsidR="00F31DC9" w:rsidRPr="00F31DC9">
        <w:rPr>
          <w:highlight w:val="yellow"/>
          <w:lang w:val="cs-CZ"/>
        </w:rPr>
        <w:t>………..</w:t>
      </w:r>
      <w:r>
        <w:rPr>
          <w:lang w:val="cs-CZ"/>
        </w:rPr>
        <w:t xml:space="preserve">, kat. území </w:t>
      </w:r>
      <w:r w:rsidR="00F31DC9" w:rsidRPr="00F31DC9">
        <w:rPr>
          <w:highlight w:val="yellow"/>
          <w:lang w:val="cs-CZ"/>
        </w:rPr>
        <w:t>…………….</w:t>
      </w:r>
      <w:r>
        <w:rPr>
          <w:lang w:val="cs-CZ"/>
        </w:rPr>
        <w:t xml:space="preserve">, na kterém bude Kupující uveden jako výlučný vlastník Nemovitostí a na kterém nebude vyznačeno žádné právo ve prospěch třetí osoby, ani žádná výhrada, poznámka či plomba, s výjimkou </w:t>
      </w:r>
      <w:r>
        <w:rPr>
          <w:lang w:val="cs-CZ"/>
        </w:rPr>
        <w:lastRenderedPageBreak/>
        <w:t xml:space="preserve">takových zápisů, které byly učiněny na základě řízení, jehož účastníkem je Kupující, případných zatížení, která budou sjednána v souvislosti s úvěrem poskytnutým Kupujícímu na úhradu spravované částky (např. zástavní právo, zákaz zcizení a zatížení) </w:t>
      </w:r>
    </w:p>
    <w:p w14:paraId="6EBC81C2" w14:textId="77777777" w:rsidR="004D1740" w:rsidRDefault="004D1740">
      <w:pPr>
        <w:pStyle w:val="NormalWeb"/>
        <w:rPr>
          <w:lang w:val="cs-CZ"/>
        </w:rPr>
      </w:pPr>
      <w:r>
        <w:rPr>
          <w:lang w:val="cs-CZ"/>
        </w:rPr>
        <w:t xml:space="preserve">2. Banka je povinna odepsat příslušnou částku z jistotního účtu do 5 pracovních dnů od splnění podmínek pro její uvolnění </w:t>
      </w:r>
    </w:p>
    <w:p w14:paraId="50CADB26" w14:textId="77777777" w:rsidR="004D1740" w:rsidRDefault="004D1740">
      <w:pPr>
        <w:jc w:val="both"/>
        <w:rPr>
          <w:lang w:val="cs-CZ"/>
        </w:rPr>
      </w:pPr>
      <w:r>
        <w:rPr>
          <w:lang w:val="cs-CZ"/>
        </w:rPr>
        <w:t>3. V případě, že příslušný katastrální úřad vydá rozhodnutí, kterým návrh na vklad vlastnického práva ve prospěch Kupujícího na základě kupní smlouvy specifikované výše pravomocně zamítne nebo řízení o povolení vkladu pravomocně zastaví, a že Bance bude originál či úředně ověřená kopie tohoto rozhodnutí předložena, Banka jistotní účet zruší a spravovanou částku převede zpět na účet/účty, z něhož/nichž byla částka na jistotní účet zaslána. O</w:t>
      </w:r>
      <w:r>
        <w:rPr>
          <w:rStyle w:val="Strong"/>
          <w:lang w:val="cs-CZ"/>
        </w:rPr>
        <w:t xml:space="preserve"> </w:t>
      </w:r>
      <w:r>
        <w:rPr>
          <w:lang w:val="cs-CZ"/>
        </w:rPr>
        <w:t xml:space="preserve">provedených transakcích bude Banka Prodávajícího i Kupujícího informovat, a to prostřednictvím e-mailu. </w:t>
      </w:r>
    </w:p>
    <w:p w14:paraId="11461B65" w14:textId="77777777" w:rsidR="004D1740" w:rsidRDefault="004D1740">
      <w:pPr>
        <w:rPr>
          <w:rFonts w:eastAsia="Times New Roman"/>
          <w:lang w:val="cs-CZ"/>
        </w:rPr>
      </w:pPr>
    </w:p>
    <w:p w14:paraId="4995BC52" w14:textId="77777777" w:rsidR="004D1740" w:rsidRDefault="004D1740">
      <w:pPr>
        <w:jc w:val="both"/>
        <w:rPr>
          <w:lang w:val="cs-CZ"/>
        </w:rPr>
      </w:pPr>
      <w:r>
        <w:rPr>
          <w:lang w:val="cs-CZ"/>
        </w:rPr>
        <w:t xml:space="preserve">4. Pokud Banka obdrží jakékoli dokumenty podle této smlouvy, může je pokládat za autentické, pravé, platné a pravdivé a není povinna zkoumat a ověřovat autentičnost, pravost, platnost či pravdivost těchto dokumentů nebo skutečností v nich uvedených a neodpovídá za škodu způsobenou tím, že bude postupovat dle údajů v těchto dokumentech obsažených. Banka není rovněž povinna zkoumat pravost či platnost podpisů, razítek nebo pečetí na jakýchkoli dokumentech jí doručených podle této smlouvy nebo zkoumat, zda jakýkoli dokument je skutečně tím, za co je vydáván, nebo zda splňuje právní náležitosti pro něj právními předpisy stanovené. </w:t>
      </w:r>
    </w:p>
    <w:p w14:paraId="10666C56" w14:textId="77777777" w:rsidR="004D1740" w:rsidRDefault="004D1740">
      <w:pPr>
        <w:rPr>
          <w:rFonts w:eastAsia="Times New Roman"/>
          <w:lang w:val="cs-CZ"/>
        </w:rPr>
      </w:pPr>
    </w:p>
    <w:p w14:paraId="4456CADA" w14:textId="77777777" w:rsidR="004D1740" w:rsidRDefault="004D1740">
      <w:pPr>
        <w:jc w:val="both"/>
        <w:rPr>
          <w:lang w:val="cs-CZ"/>
        </w:rPr>
      </w:pPr>
      <w:r>
        <w:rPr>
          <w:lang w:val="cs-CZ"/>
        </w:rPr>
        <w:t xml:space="preserve">5. V případě zjištění jakýchkoli závad v předložených dokumentech je Banka povinna o tom zbývající smluvní strany informovat a dát jim příležitost se k předloženému a dle názoru Banky spornému dokumentu písemně vyjádřit, přičemž výplatu spravované částky v takovém případě provede pouze s písemným souhlasem Prodávajícího a Kupujícího. </w:t>
      </w:r>
    </w:p>
    <w:p w14:paraId="50B0DC18" w14:textId="77777777" w:rsidR="004D1740" w:rsidRDefault="004D1740">
      <w:pPr>
        <w:rPr>
          <w:rFonts w:eastAsia="Times New Roman"/>
          <w:lang w:val="cs-CZ"/>
        </w:rPr>
      </w:pPr>
    </w:p>
    <w:p w14:paraId="2BF868D3" w14:textId="77777777" w:rsidR="004D1740" w:rsidRDefault="004D1740">
      <w:pPr>
        <w:jc w:val="both"/>
        <w:rPr>
          <w:lang w:val="cs-CZ"/>
        </w:rPr>
      </w:pPr>
      <w:r>
        <w:rPr>
          <w:lang w:val="cs-CZ"/>
        </w:rPr>
        <w:t xml:space="preserve">6. Smluvní strany berou na vědomí, že Banka spravovanou částku způsobem shora uvedeným nepřevede v případech, že by převod spravované částky byl v rozporu s obecně závazným právním předpisem nebo by mu bránilo rozhodnutí soudu či jiného státního orgánu. </w:t>
      </w:r>
    </w:p>
    <w:p w14:paraId="73DA33E7" w14:textId="77777777" w:rsidR="004D1740" w:rsidRDefault="004D1740">
      <w:pPr>
        <w:rPr>
          <w:rFonts w:eastAsia="Times New Roman"/>
          <w:lang w:val="cs-CZ"/>
        </w:rPr>
      </w:pPr>
    </w:p>
    <w:p w14:paraId="1506092D" w14:textId="295A304E" w:rsidR="004D1740" w:rsidRDefault="004D1740">
      <w:pPr>
        <w:jc w:val="both"/>
        <w:rPr>
          <w:lang w:val="cs-CZ"/>
        </w:rPr>
      </w:pPr>
      <w:r>
        <w:rPr>
          <w:lang w:val="cs-CZ"/>
        </w:rPr>
        <w:t>7. Nebudou-li Bance nejpozději do</w:t>
      </w:r>
      <w:proofErr w:type="gramStart"/>
      <w:r>
        <w:rPr>
          <w:lang w:val="cs-CZ"/>
        </w:rPr>
        <w:t xml:space="preserve"> </w:t>
      </w:r>
      <w:r w:rsidR="00E9155C" w:rsidRPr="00E9155C">
        <w:rPr>
          <w:highlight w:val="yellow"/>
          <w:lang w:val="cs-CZ"/>
        </w:rPr>
        <w:t>….</w:t>
      </w:r>
      <w:proofErr w:type="gramEnd"/>
      <w:r w:rsidR="00E9155C" w:rsidRPr="00E9155C">
        <w:rPr>
          <w:rStyle w:val="Strong"/>
          <w:b w:val="0"/>
          <w:bCs w:val="0"/>
          <w:highlight w:val="yellow"/>
          <w:lang w:val="cs-CZ"/>
        </w:rPr>
        <w:t>…………</w:t>
      </w:r>
      <w:r w:rsidR="006B0D22" w:rsidRPr="006B0D22">
        <w:rPr>
          <w:rStyle w:val="Strong"/>
          <w:lang w:val="cs-CZ"/>
        </w:rPr>
        <w:t xml:space="preserve"> </w:t>
      </w:r>
      <w:r>
        <w:rPr>
          <w:lang w:val="cs-CZ"/>
        </w:rPr>
        <w:t>předloženy všechny dokumenty specifikované v odst. 1 tohoto článku a nedohodnou-li se smluvní strany před uplynutím této lhůty na jejím prodloužení, Banka jistotní účet zruší a spravovanou částku, resp. její nevyplacenou část poukáže zpět na účet/účty, z něhož/nichž byla částka na jistotní účet zaslána. O</w:t>
      </w:r>
      <w:r>
        <w:rPr>
          <w:rStyle w:val="Strong"/>
          <w:lang w:val="cs-CZ"/>
        </w:rPr>
        <w:t xml:space="preserve"> </w:t>
      </w:r>
      <w:r>
        <w:rPr>
          <w:lang w:val="cs-CZ"/>
        </w:rPr>
        <w:t xml:space="preserve">provedených transakcích bude Banka Prodávajícího i Kupujícího informovat, a to prostřednictvím e-mailu. </w:t>
      </w:r>
    </w:p>
    <w:p w14:paraId="239AB853" w14:textId="77777777" w:rsidR="004D1740" w:rsidRDefault="004D1740">
      <w:pPr>
        <w:pStyle w:val="NormalWeb"/>
        <w:jc w:val="center"/>
        <w:rPr>
          <w:lang w:val="cs-CZ"/>
        </w:rPr>
      </w:pPr>
      <w:r>
        <w:rPr>
          <w:rStyle w:val="Strong"/>
          <w:lang w:val="cs-CZ"/>
        </w:rPr>
        <w:t>IV.</w:t>
      </w:r>
      <w:r>
        <w:rPr>
          <w:lang w:val="cs-CZ"/>
        </w:rPr>
        <w:t xml:space="preserve"> </w:t>
      </w:r>
    </w:p>
    <w:p w14:paraId="019E0BBE" w14:textId="77777777" w:rsidR="004D1740" w:rsidRDefault="004D1740">
      <w:pPr>
        <w:pStyle w:val="NormalWeb"/>
        <w:jc w:val="center"/>
        <w:rPr>
          <w:lang w:val="cs-CZ"/>
        </w:rPr>
      </w:pPr>
      <w:r>
        <w:rPr>
          <w:rStyle w:val="Strong"/>
          <w:lang w:val="cs-CZ"/>
        </w:rPr>
        <w:t>OSTATNÍ UJEDNÁNÍ</w:t>
      </w:r>
      <w:r>
        <w:rPr>
          <w:lang w:val="cs-CZ"/>
        </w:rPr>
        <w:t xml:space="preserve"> </w:t>
      </w:r>
    </w:p>
    <w:p w14:paraId="2735255B" w14:textId="77777777" w:rsidR="004D1740" w:rsidRDefault="004D1740">
      <w:pPr>
        <w:jc w:val="both"/>
        <w:rPr>
          <w:lang w:val="cs-CZ"/>
        </w:rPr>
      </w:pPr>
      <w:r>
        <w:rPr>
          <w:lang w:val="cs-CZ"/>
        </w:rPr>
        <w:t xml:space="preserve">1. Doručování Banky dle této smlouvy se provádí na adresu smluvních stran, která je uvedena v záhlaví této smlouvy, nedohodly-li se strany jinak. V případě změny doručovací adresy je každá ze smluvních stran povinna oznámit Bance tuto změnu písemně. Zásilky Banky odeslané prostřednictvím provozovatele poštovních služeb jsou došlé (i) jejich osobním převzetím, (ii) jejich vhozením do poštovní schránky adresáta, (iii) vhozením oznámení o uložení zásilky u provozovatele poštovních služeb do poštovní schránky adresáta nebo (iv) jejich dodáním </w:t>
      </w:r>
      <w:r>
        <w:rPr>
          <w:lang w:val="cs-CZ"/>
        </w:rPr>
        <w:lastRenderedPageBreak/>
        <w:t xml:space="preserve">adresátovi jiným obdobným způsobem, při kterém měl adresát objektivní příležitost se s obsahem zásilky seznámit. Zásilky, jejichž dojití bylo adresátem vědomě zmařeno, platí za došlé dnem vrácení takových zásilek Bance; za vědomé zmaření se považuje zejména porušení povinnosti oznámit Bance změnu adresy. </w:t>
      </w:r>
    </w:p>
    <w:p w14:paraId="3CE6E9C7" w14:textId="77777777" w:rsidR="004D1740" w:rsidRDefault="004D1740">
      <w:pPr>
        <w:pStyle w:val="NormalWeb"/>
        <w:jc w:val="center"/>
        <w:rPr>
          <w:lang w:val="cs-CZ"/>
        </w:rPr>
      </w:pPr>
      <w:r>
        <w:rPr>
          <w:rStyle w:val="Strong"/>
          <w:lang w:val="cs-CZ"/>
        </w:rPr>
        <w:t>V.</w:t>
      </w:r>
      <w:r>
        <w:rPr>
          <w:lang w:val="cs-CZ"/>
        </w:rPr>
        <w:t xml:space="preserve"> </w:t>
      </w:r>
    </w:p>
    <w:p w14:paraId="01A354D8" w14:textId="77777777" w:rsidR="004D1740" w:rsidRDefault="004D1740">
      <w:pPr>
        <w:pStyle w:val="NormalWeb"/>
        <w:jc w:val="center"/>
        <w:rPr>
          <w:lang w:val="cs-CZ"/>
        </w:rPr>
      </w:pPr>
      <w:r>
        <w:rPr>
          <w:rStyle w:val="Strong"/>
          <w:lang w:val="cs-CZ"/>
        </w:rPr>
        <w:t>ODMĚNA BANKY</w:t>
      </w:r>
      <w:r>
        <w:rPr>
          <w:lang w:val="cs-CZ"/>
        </w:rPr>
        <w:t xml:space="preserve"> </w:t>
      </w:r>
    </w:p>
    <w:p w14:paraId="71FAA0A8" w14:textId="665C6D48" w:rsidR="004D1740" w:rsidRDefault="004D1740">
      <w:pPr>
        <w:jc w:val="both"/>
        <w:rPr>
          <w:lang w:val="cs-CZ"/>
        </w:rPr>
      </w:pPr>
      <w:r>
        <w:rPr>
          <w:lang w:val="cs-CZ"/>
        </w:rPr>
        <w:t xml:space="preserve">1. Smluvní strany se dohodly na tom, že za služby spojené se zpracováním této smlouvy a správou a výplatou spravované částky náleží Bance odměna ve výši Kč </w:t>
      </w:r>
      <w:r w:rsidR="00F31DC9" w:rsidRPr="00F31DC9">
        <w:rPr>
          <w:rStyle w:val="Strong"/>
          <w:highlight w:val="yellow"/>
          <w:lang w:val="cs-CZ"/>
        </w:rPr>
        <w:t>…………</w:t>
      </w:r>
      <w:r>
        <w:rPr>
          <w:lang w:val="cs-CZ"/>
        </w:rPr>
        <w:t xml:space="preserve"> (slovy: </w:t>
      </w:r>
      <w:r w:rsidR="00F31DC9" w:rsidRPr="00F31DC9">
        <w:rPr>
          <w:highlight w:val="yellow"/>
          <w:lang w:val="cs-CZ"/>
        </w:rPr>
        <w:t>………………………</w:t>
      </w:r>
      <w:proofErr w:type="gramStart"/>
      <w:r w:rsidR="00F31DC9" w:rsidRPr="00F31DC9">
        <w:rPr>
          <w:highlight w:val="yellow"/>
          <w:lang w:val="cs-CZ"/>
        </w:rPr>
        <w:t>…….</w:t>
      </w:r>
      <w:proofErr w:type="gramEnd"/>
      <w:r w:rsidR="00F31DC9" w:rsidRPr="00F31DC9">
        <w:rPr>
          <w:highlight w:val="yellow"/>
          <w:lang w:val="cs-CZ"/>
        </w:rPr>
        <w:t>.</w:t>
      </w:r>
      <w:r>
        <w:rPr>
          <w:lang w:val="cs-CZ"/>
        </w:rPr>
        <w:t xml:space="preserve">). </w:t>
      </w:r>
    </w:p>
    <w:p w14:paraId="36F24418" w14:textId="77777777" w:rsidR="004D1740" w:rsidRDefault="004D1740">
      <w:pPr>
        <w:rPr>
          <w:rFonts w:eastAsia="Times New Roman"/>
          <w:lang w:val="cs-CZ"/>
        </w:rPr>
      </w:pPr>
    </w:p>
    <w:p w14:paraId="072B23DD" w14:textId="77777777" w:rsidR="004D1740" w:rsidRDefault="004D1740">
      <w:pPr>
        <w:jc w:val="both"/>
        <w:rPr>
          <w:lang w:val="cs-CZ"/>
        </w:rPr>
      </w:pPr>
      <w:r>
        <w:rPr>
          <w:lang w:val="cs-CZ"/>
        </w:rPr>
        <w:t xml:space="preserve">2. Odměnu Banky dle odst. 1 tohoto článku je povinen uhradit Prodávající bezhotovostním převodem na účet Banky č. </w:t>
      </w:r>
      <w:r>
        <w:rPr>
          <w:rStyle w:val="Strong"/>
          <w:color w:val="FF0000"/>
          <w:lang w:val="cs-CZ"/>
        </w:rPr>
        <w:t>………(</w:t>
      </w:r>
      <w:r>
        <w:rPr>
          <w:rStyle w:val="Strong"/>
          <w:color w:val="FF0000"/>
          <w:u w:val="single"/>
          <w:lang w:val="cs-CZ"/>
        </w:rPr>
        <w:t>Č. JISTOTNÍHO ÚČTU DOPLNÍ UCB</w:t>
      </w:r>
      <w:r>
        <w:rPr>
          <w:rStyle w:val="Strong"/>
          <w:color w:val="FF0000"/>
          <w:lang w:val="cs-CZ"/>
        </w:rPr>
        <w:t>)……….</w:t>
      </w:r>
      <w:r>
        <w:rPr>
          <w:lang w:val="cs-CZ"/>
        </w:rPr>
        <w:t xml:space="preserve"> /2700, a to do 3 pracovních dnů po uzavření této smlouvy. Odměnu považují smluvní strany za uhrazenou dnem jejího připsání na předmětný účet Banky. </w:t>
      </w:r>
    </w:p>
    <w:p w14:paraId="1D0B9247" w14:textId="77777777" w:rsidR="004D1740" w:rsidRDefault="004D1740">
      <w:pPr>
        <w:rPr>
          <w:rFonts w:eastAsia="Times New Roman"/>
          <w:lang w:val="cs-CZ"/>
        </w:rPr>
      </w:pPr>
    </w:p>
    <w:p w14:paraId="5FF78216" w14:textId="77777777" w:rsidR="004D1740" w:rsidRDefault="004D1740">
      <w:pPr>
        <w:jc w:val="both"/>
        <w:rPr>
          <w:lang w:val="cs-CZ"/>
        </w:rPr>
      </w:pPr>
      <w:r>
        <w:rPr>
          <w:lang w:val="cs-CZ"/>
        </w:rPr>
        <w:t xml:space="preserve">3. Nebude-li sjednaná odměna uhrazena ve lhůtě uvedené v odst. 2 tohoto článku, je Banka oprávněna výplatu spravované částky pozastavit. </w:t>
      </w:r>
    </w:p>
    <w:p w14:paraId="35466D18" w14:textId="77777777" w:rsidR="004D1740" w:rsidRDefault="004D1740">
      <w:pPr>
        <w:rPr>
          <w:rFonts w:eastAsia="Times New Roman"/>
          <w:lang w:val="cs-CZ"/>
        </w:rPr>
      </w:pPr>
    </w:p>
    <w:p w14:paraId="69D40928" w14:textId="77777777" w:rsidR="004D1740" w:rsidRDefault="004D1740">
      <w:pPr>
        <w:jc w:val="both"/>
        <w:rPr>
          <w:lang w:val="cs-CZ"/>
        </w:rPr>
      </w:pPr>
      <w:r>
        <w:rPr>
          <w:lang w:val="cs-CZ"/>
        </w:rPr>
        <w:t xml:space="preserve">4. Na vznik nároku Banky na uhrazení sjednané odměny dle odst. 1 tohoto článku nemá vliv skutečnost, že spravovaná částka nebyla z jakéhokoliv důvodu na jistotní účet převedena nebo že nebyla vyplacena způsobem předpokládaným touto smlouvou. </w:t>
      </w:r>
    </w:p>
    <w:p w14:paraId="067042C3" w14:textId="77777777" w:rsidR="004D1740" w:rsidRDefault="004D1740">
      <w:pPr>
        <w:pStyle w:val="NormalWeb"/>
        <w:jc w:val="center"/>
        <w:rPr>
          <w:lang w:val="cs-CZ"/>
        </w:rPr>
      </w:pPr>
      <w:r>
        <w:rPr>
          <w:rStyle w:val="Strong"/>
          <w:lang w:val="cs-CZ"/>
        </w:rPr>
        <w:t>VI.</w:t>
      </w:r>
      <w:r>
        <w:rPr>
          <w:lang w:val="cs-CZ"/>
        </w:rPr>
        <w:t xml:space="preserve"> </w:t>
      </w:r>
    </w:p>
    <w:p w14:paraId="1BBDF6A7" w14:textId="77777777" w:rsidR="004D1740" w:rsidRDefault="004D1740">
      <w:pPr>
        <w:pStyle w:val="NormalWeb"/>
        <w:jc w:val="center"/>
        <w:rPr>
          <w:lang w:val="cs-CZ"/>
        </w:rPr>
      </w:pPr>
      <w:r>
        <w:rPr>
          <w:rStyle w:val="Strong"/>
          <w:lang w:val="cs-CZ"/>
        </w:rPr>
        <w:t>ZÁVĚREČNÁ USTANOVENÍ</w:t>
      </w:r>
      <w:r>
        <w:rPr>
          <w:lang w:val="cs-CZ"/>
        </w:rPr>
        <w:t xml:space="preserve"> </w:t>
      </w:r>
    </w:p>
    <w:p w14:paraId="61AC26E7" w14:textId="77777777" w:rsidR="004D1740" w:rsidRDefault="004D1740">
      <w:pPr>
        <w:jc w:val="both"/>
        <w:rPr>
          <w:lang w:val="cs-CZ"/>
        </w:rPr>
      </w:pPr>
      <w:r>
        <w:rPr>
          <w:lang w:val="cs-CZ"/>
        </w:rPr>
        <w:t xml:space="preserve">1. Tato smlouva se sjednává na dobu určitou, a to do dne výplaty poslední části spravované částky. </w:t>
      </w:r>
    </w:p>
    <w:p w14:paraId="245D5BA3" w14:textId="77777777" w:rsidR="004D1740" w:rsidRDefault="004D1740">
      <w:pPr>
        <w:rPr>
          <w:rFonts w:eastAsia="Times New Roman"/>
          <w:lang w:val="cs-CZ"/>
        </w:rPr>
      </w:pPr>
    </w:p>
    <w:p w14:paraId="2C914F63" w14:textId="77777777" w:rsidR="004D1740" w:rsidRDefault="004D1740">
      <w:pPr>
        <w:jc w:val="both"/>
        <w:rPr>
          <w:lang w:val="cs-CZ"/>
        </w:rPr>
      </w:pPr>
      <w:r>
        <w:rPr>
          <w:lang w:val="cs-CZ"/>
        </w:rPr>
        <w:t xml:space="preserve">2. Tato smlouva může být vypovězena na základě společné písemné výpovědi Kupujícího a Prodávajícího, přičemž výpověď musí obsahovat srozumitelný pokyn pro Banku, jak se spravovanou částkou naložit, a musí být podepsána před pracovníkem Banky nebo opatřena úředně ověřenými podpisy. Nesplnění podmínek uvedených v předchozí větě tohoto odstavce má za následek neúčinnost výpovědi vůči Bance. </w:t>
      </w:r>
    </w:p>
    <w:p w14:paraId="5D9F5444" w14:textId="77777777" w:rsidR="004D1740" w:rsidRDefault="004D1740">
      <w:pPr>
        <w:jc w:val="both"/>
        <w:rPr>
          <w:lang w:val="cs-CZ"/>
        </w:rPr>
      </w:pPr>
      <w:r>
        <w:rPr>
          <w:lang w:val="cs-CZ"/>
        </w:rPr>
        <w:t xml:space="preserve">Pro případ, že by Banka obdržela účinnou výpověď v den, v němž jí bylo prokázáno splnění podmínek pro převod spravované částky v souladu s čl. III této smlouvy, Prodávající a Kupující Banku pověřují, aby k výpovědi nepřihlížela. </w:t>
      </w:r>
    </w:p>
    <w:p w14:paraId="4470A399" w14:textId="77777777" w:rsidR="004D1740" w:rsidRDefault="004D1740">
      <w:pPr>
        <w:rPr>
          <w:rFonts w:eastAsia="Times New Roman"/>
          <w:lang w:val="cs-CZ"/>
        </w:rPr>
      </w:pPr>
    </w:p>
    <w:p w14:paraId="3040F7D4" w14:textId="77777777" w:rsidR="004D1740" w:rsidRDefault="004D1740">
      <w:pPr>
        <w:jc w:val="both"/>
        <w:rPr>
          <w:lang w:val="cs-CZ"/>
        </w:rPr>
      </w:pPr>
      <w:r>
        <w:rPr>
          <w:lang w:val="cs-CZ"/>
        </w:rPr>
        <w:t xml:space="preserve">3. Tato smlouva je sepsána ve třech vyhotoveních v českém jazyce; každá smluvní strana obdrží po jednom vyhotovení opatřeném podpisy všech smluvních stran. </w:t>
      </w:r>
    </w:p>
    <w:p w14:paraId="47705249" w14:textId="77777777" w:rsidR="004D1740" w:rsidRDefault="004D1740">
      <w:pPr>
        <w:rPr>
          <w:rFonts w:eastAsia="Times New Roman"/>
          <w:lang w:val="cs-CZ"/>
        </w:rPr>
      </w:pPr>
    </w:p>
    <w:p w14:paraId="3B11A54B" w14:textId="77777777" w:rsidR="004D1740" w:rsidRDefault="004D1740">
      <w:pPr>
        <w:jc w:val="both"/>
        <w:rPr>
          <w:lang w:val="cs-CZ"/>
        </w:rPr>
      </w:pPr>
      <w:r>
        <w:rPr>
          <w:lang w:val="cs-CZ"/>
        </w:rPr>
        <w:t xml:space="preserve">4. Tato smlouva nabývá účinnosti dnem jejího podpisu poslední smluvní stranou. </w:t>
      </w:r>
    </w:p>
    <w:p w14:paraId="2EFF01DE" w14:textId="77777777" w:rsidR="004D1740" w:rsidRDefault="004D1740">
      <w:pPr>
        <w:rPr>
          <w:rFonts w:eastAsia="Times New Roman"/>
          <w:lang w:val="cs-CZ"/>
        </w:rPr>
      </w:pPr>
    </w:p>
    <w:p w14:paraId="07F77067" w14:textId="01B30058" w:rsidR="004D1740" w:rsidRDefault="004D1740">
      <w:pPr>
        <w:pStyle w:val="NormalWeb"/>
        <w:rPr>
          <w:lang w:val="cs-CZ"/>
        </w:rPr>
      </w:pPr>
      <w:r>
        <w:rPr>
          <w:lang w:val="cs-CZ"/>
        </w:rPr>
        <w:t xml:space="preserve">V </w:t>
      </w:r>
      <w:r w:rsidR="006B0D22" w:rsidRPr="006B0D22">
        <w:rPr>
          <w:rStyle w:val="Strong"/>
          <w:b w:val="0"/>
          <w:bCs w:val="0"/>
          <w:lang w:val="cs-CZ"/>
        </w:rPr>
        <w:t>Praze</w:t>
      </w:r>
      <w:r>
        <w:rPr>
          <w:lang w:val="cs-CZ"/>
        </w:rPr>
        <w:t xml:space="preserve"> dne </w:t>
      </w:r>
      <w:r w:rsidR="00E9155C" w:rsidRPr="00E9155C">
        <w:rPr>
          <w:rStyle w:val="Strong"/>
          <w:b w:val="0"/>
          <w:bCs w:val="0"/>
          <w:highlight w:val="yellow"/>
          <w:lang w:val="cs-CZ"/>
        </w:rPr>
        <w:t>………………</w:t>
      </w:r>
    </w:p>
    <w:p w14:paraId="3A9FCF39" w14:textId="77777777" w:rsidR="004D1740" w:rsidRDefault="004D1740">
      <w:pPr>
        <w:pStyle w:val="NormalWeb"/>
        <w:rPr>
          <w:lang w:val="cs-CZ"/>
        </w:rPr>
      </w:pPr>
      <w:r>
        <w:rPr>
          <w:rStyle w:val="Strong"/>
          <w:lang w:val="cs-CZ"/>
        </w:rPr>
        <w:lastRenderedPageBreak/>
        <w:t>UniCredit Bank Czech Republic and Slovakia, a.s.</w:t>
      </w:r>
      <w:r>
        <w:rPr>
          <w:lang w:val="cs-CZ"/>
        </w:rPr>
        <w:t xml:space="preserve"> </w:t>
      </w:r>
    </w:p>
    <w:p w14:paraId="36993245" w14:textId="75A6EF9F" w:rsidR="006B0D22" w:rsidRDefault="004D1740" w:rsidP="006B0D22">
      <w:pPr>
        <w:rPr>
          <w:rFonts w:ascii="Arial" w:eastAsiaTheme="minorHAnsi" w:hAnsi="Arial" w:cs="Arial"/>
          <w:b/>
          <w:bCs/>
          <w:sz w:val="20"/>
          <w:szCs w:val="20"/>
          <w:lang w:val="cs-CZ"/>
        </w:rPr>
      </w:pPr>
      <w:r>
        <w:rPr>
          <w:lang w:val="cs-CZ"/>
        </w:rPr>
        <w:br/>
        <w:t>___________________________________</w:t>
      </w:r>
      <w:r>
        <w:rPr>
          <w:lang w:val="cs-CZ"/>
        </w:rPr>
        <w:br/>
      </w:r>
      <w:r w:rsidR="00E9155C" w:rsidRPr="00E9155C">
        <w:rPr>
          <w:rFonts w:ascii="Arial" w:hAnsi="Arial" w:cs="Arial"/>
          <w:sz w:val="20"/>
          <w:szCs w:val="20"/>
          <w:highlight w:val="yellow"/>
          <w:lang w:val="cs-CZ"/>
        </w:rPr>
        <w:t>……………………………</w:t>
      </w:r>
    </w:p>
    <w:p w14:paraId="1FDD9334" w14:textId="2E2A4733" w:rsidR="004D1740" w:rsidRDefault="004D1740">
      <w:pPr>
        <w:pStyle w:val="NormalWeb"/>
        <w:rPr>
          <w:lang w:val="cs-CZ"/>
        </w:rPr>
      </w:pPr>
    </w:p>
    <w:p w14:paraId="1264EF09" w14:textId="6AB7460E" w:rsidR="004D1740" w:rsidRDefault="004D1740">
      <w:pPr>
        <w:pStyle w:val="NormalWeb"/>
        <w:rPr>
          <w:lang w:val="cs-CZ"/>
        </w:rPr>
      </w:pPr>
      <w:r>
        <w:rPr>
          <w:lang w:val="cs-CZ"/>
        </w:rPr>
        <w:br/>
        <w:t>___________________________________</w:t>
      </w:r>
      <w:r>
        <w:rPr>
          <w:lang w:val="cs-CZ"/>
        </w:rPr>
        <w:br/>
      </w:r>
      <w:r w:rsidR="00E9155C" w:rsidRPr="00E9155C">
        <w:rPr>
          <w:rFonts w:ascii="Arial" w:hAnsi="Arial" w:cs="Arial"/>
          <w:sz w:val="20"/>
          <w:szCs w:val="20"/>
          <w:highlight w:val="yellow"/>
          <w:lang w:val="cs-CZ"/>
        </w:rPr>
        <w:t>……………………………</w:t>
      </w:r>
    </w:p>
    <w:p w14:paraId="4532E823" w14:textId="77777777" w:rsidR="004D1740" w:rsidRDefault="004D1740">
      <w:pPr>
        <w:spacing w:after="240"/>
        <w:rPr>
          <w:rFonts w:eastAsia="Times New Roman"/>
          <w:lang w:val="cs-CZ"/>
        </w:rPr>
      </w:pPr>
    </w:p>
    <w:tbl>
      <w:tblPr>
        <w:tblW w:w="5000" w:type="pct"/>
        <w:tblInd w:w="-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98"/>
        <w:gridCol w:w="4698"/>
      </w:tblGrid>
      <w:tr w:rsidR="003C2B4A" w14:paraId="3EC8E90A" w14:textId="77777777">
        <w:tc>
          <w:tcPr>
            <w:tcW w:w="2500" w:type="pct"/>
            <w:tcBorders>
              <w:top w:val="single" w:sz="4" w:space="0" w:color="FFFFFF"/>
              <w:left w:val="single" w:sz="4" w:space="0" w:color="FFFFFF"/>
              <w:bottom w:val="single" w:sz="4" w:space="0" w:color="FFFFFF"/>
              <w:right w:val="single" w:sz="4" w:space="0" w:color="FFFFFF"/>
            </w:tcBorders>
            <w:hideMark/>
          </w:tcPr>
          <w:p w14:paraId="4D006593" w14:textId="7CB35805" w:rsidR="004D1740" w:rsidRDefault="004D1740">
            <w:pPr>
              <w:spacing w:after="240"/>
              <w:rPr>
                <w:rFonts w:eastAsia="Times New Roman"/>
              </w:rPr>
            </w:pPr>
            <w:r>
              <w:rPr>
                <w:rFonts w:eastAsia="Times New Roman"/>
              </w:rPr>
              <w:t xml:space="preserve">Prodávající: </w:t>
            </w:r>
            <w:r>
              <w:rPr>
                <w:rFonts w:eastAsia="Times New Roman"/>
              </w:rPr>
              <w:br/>
            </w:r>
            <w:r>
              <w:rPr>
                <w:rFonts w:eastAsia="Times New Roman"/>
              </w:rPr>
              <w:br/>
            </w:r>
            <w:r>
              <w:rPr>
                <w:rFonts w:eastAsia="Times New Roman"/>
              </w:rPr>
              <w:br/>
              <w:t>_____________________________</w:t>
            </w:r>
            <w:r>
              <w:rPr>
                <w:rFonts w:eastAsia="Times New Roman"/>
              </w:rPr>
              <w:br/>
            </w:r>
            <w:r w:rsidR="00E9155C" w:rsidRPr="00E9155C">
              <w:rPr>
                <w:rFonts w:ascii="Arial" w:hAnsi="Arial" w:cs="Arial"/>
                <w:sz w:val="20"/>
                <w:szCs w:val="20"/>
                <w:highlight w:val="yellow"/>
                <w:lang w:val="cs-CZ"/>
              </w:rPr>
              <w:t>……………………………</w:t>
            </w:r>
            <w:r>
              <w:rPr>
                <w:rFonts w:eastAsia="Times New Roman"/>
              </w:rPr>
              <w:br/>
            </w:r>
            <w:r>
              <w:rPr>
                <w:rFonts w:eastAsia="Times New Roman"/>
              </w:rPr>
              <w:br/>
            </w:r>
          </w:p>
        </w:tc>
        <w:tc>
          <w:tcPr>
            <w:tcW w:w="2500" w:type="pct"/>
            <w:tcBorders>
              <w:top w:val="single" w:sz="4" w:space="0" w:color="FFFFFF"/>
              <w:left w:val="single" w:sz="4" w:space="0" w:color="FFFFFF"/>
              <w:bottom w:val="single" w:sz="4" w:space="0" w:color="FFFFFF"/>
              <w:right w:val="single" w:sz="4" w:space="0" w:color="FFFFFF"/>
            </w:tcBorders>
            <w:hideMark/>
          </w:tcPr>
          <w:p w14:paraId="58510A5D" w14:textId="77777777" w:rsidR="00E9155C" w:rsidRDefault="004D1740">
            <w:pPr>
              <w:spacing w:after="240"/>
              <w:rPr>
                <w:rFonts w:eastAsia="Times New Roman"/>
              </w:rPr>
            </w:pPr>
            <w:r>
              <w:rPr>
                <w:rFonts w:eastAsia="Times New Roman"/>
              </w:rPr>
              <w:t xml:space="preserve">Kupující: </w:t>
            </w:r>
            <w:r>
              <w:rPr>
                <w:rFonts w:eastAsia="Times New Roman"/>
              </w:rPr>
              <w:br/>
            </w:r>
            <w:r>
              <w:rPr>
                <w:rFonts w:eastAsia="Times New Roman"/>
              </w:rPr>
              <w:br/>
            </w:r>
            <w:r>
              <w:rPr>
                <w:rFonts w:eastAsia="Times New Roman"/>
              </w:rPr>
              <w:br/>
              <w:t>_____________________________</w:t>
            </w:r>
            <w:r>
              <w:rPr>
                <w:rFonts w:eastAsia="Times New Roman"/>
              </w:rPr>
              <w:br/>
            </w:r>
            <w:r w:rsidR="00E9155C" w:rsidRPr="00E9155C">
              <w:rPr>
                <w:rFonts w:ascii="Arial" w:hAnsi="Arial" w:cs="Arial"/>
                <w:sz w:val="20"/>
                <w:szCs w:val="20"/>
                <w:highlight w:val="yellow"/>
                <w:lang w:val="cs-CZ"/>
              </w:rPr>
              <w:t>……………………………</w:t>
            </w:r>
            <w:r>
              <w:rPr>
                <w:rFonts w:eastAsia="Times New Roman"/>
              </w:rPr>
              <w:t xml:space="preserve"> </w:t>
            </w:r>
          </w:p>
          <w:p w14:paraId="0EA79716" w14:textId="77777777" w:rsidR="00E9155C" w:rsidRDefault="00E9155C">
            <w:pPr>
              <w:spacing w:after="240"/>
              <w:rPr>
                <w:rFonts w:eastAsia="Times New Roman"/>
              </w:rPr>
            </w:pPr>
          </w:p>
          <w:p w14:paraId="23459098" w14:textId="38076482" w:rsidR="004D1740" w:rsidRDefault="004D1740">
            <w:pPr>
              <w:spacing w:after="240"/>
              <w:rPr>
                <w:rFonts w:eastAsia="Times New Roman"/>
              </w:rPr>
            </w:pPr>
            <w:r>
              <w:rPr>
                <w:rFonts w:eastAsia="Times New Roman"/>
              </w:rPr>
              <w:br/>
            </w:r>
          </w:p>
        </w:tc>
      </w:tr>
    </w:tbl>
    <w:p w14:paraId="3CA10BF6" w14:textId="77777777" w:rsidR="004D1740" w:rsidRDefault="004D1740">
      <w:pPr>
        <w:pStyle w:val="NormalWeb"/>
        <w:rPr>
          <w:lang w:val="cs-CZ"/>
        </w:rPr>
      </w:pPr>
      <w:r>
        <w:rPr>
          <w:rStyle w:val="Strong"/>
          <w:lang w:val="cs-CZ"/>
        </w:rPr>
        <w:t>Přílohy:</w:t>
      </w:r>
      <w:r>
        <w:rPr>
          <w:lang w:val="cs-CZ"/>
        </w:rPr>
        <w:t xml:space="preserve"> </w:t>
      </w:r>
    </w:p>
    <w:p w14:paraId="0954A25B" w14:textId="77777777" w:rsidR="004D1740" w:rsidRDefault="004D1740">
      <w:pPr>
        <w:pStyle w:val="NormalWeb"/>
        <w:rPr>
          <w:lang w:val="cs-CZ"/>
        </w:rPr>
      </w:pPr>
      <w:r>
        <w:rPr>
          <w:lang w:val="cs-CZ"/>
        </w:rPr>
        <w:t xml:space="preserve">Kupní smlouva </w:t>
      </w:r>
    </w:p>
    <w:p w14:paraId="0EE52333" w14:textId="77777777" w:rsidR="004D1740" w:rsidRDefault="004D1740">
      <w:pPr>
        <w:pStyle w:val="NormalWeb"/>
        <w:rPr>
          <w:lang w:val="cs-CZ"/>
        </w:rPr>
      </w:pPr>
      <w:r>
        <w:rPr>
          <w:lang w:val="cs-CZ"/>
        </w:rPr>
        <w:t xml:space="preserve">Výpis z katastru nemovitostí </w:t>
      </w:r>
    </w:p>
    <w:sectPr w:rsidR="004D174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A11AF"/>
    <w:multiLevelType w:val="multilevel"/>
    <w:tmpl w:val="56BE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52563"/>
    <w:multiLevelType w:val="multilevel"/>
    <w:tmpl w:val="1D9C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1821168">
    <w:abstractNumId w:val="0"/>
  </w:num>
  <w:num w:numId="2" w16cid:durableId="2132628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22"/>
    <w:rsid w:val="003C2B4A"/>
    <w:rsid w:val="003D691B"/>
    <w:rsid w:val="004D1740"/>
    <w:rsid w:val="006B0D22"/>
    <w:rsid w:val="007F51D8"/>
    <w:rsid w:val="009B29DE"/>
    <w:rsid w:val="00D54406"/>
    <w:rsid w:val="00E9155C"/>
    <w:rsid w:val="00F31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D722F"/>
  <w15:chartTrackingRefBased/>
  <w15:docId w15:val="{DDD22374-A2E8-408A-B0BF-087E6731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customStyle="1" w:styleId="msonormal0">
    <w:name w:val="msonormal"/>
    <w:basedOn w:val="Normal"/>
    <w:pPr>
      <w:spacing w:before="100" w:beforeAutospacing="1" w:after="100" w:afterAutospacing="1"/>
    </w:pPr>
  </w:style>
  <w:style w:type="table" w:customStyle="1" w:styleId="Normlntabulka">
    <w:name w:val="NormĂˇlnĂ­ tabulka"/>
    <w:semiHidden/>
    <w:tblPr>
      <w:tblCellMar>
        <w:top w:w="0" w:type="dxa"/>
        <w:left w:w="108" w:type="dxa"/>
        <w:bottom w:w="0" w:type="dxa"/>
        <w:right w:w="108" w:type="dxa"/>
      </w:tblCellMar>
    </w:tblPr>
  </w:style>
  <w:style w:type="paragraph" w:styleId="NormalWeb">
    <w:name w:val="Normal (Web)"/>
    <w:basedOn w:val="Normal"/>
    <w:pPr>
      <w:spacing w:before="100" w:beforeAutospacing="1" w:after="100" w:afterAutospacing="1"/>
    </w:pPr>
  </w:style>
  <w:style w:type="character" w:styleId="Strong">
    <w:name w:val="Strong"/>
    <w:basedOn w:val="DefaultParagraphFont"/>
    <w:qFormat/>
    <w:rPr>
      <w:b/>
      <w:bCs/>
    </w:rPr>
  </w:style>
  <w:style w:type="character" w:styleId="UnresolvedMention">
    <w:name w:val="Unresolved Mention"/>
    <w:basedOn w:val="DefaultParagraphFont"/>
    <w:uiPriority w:val="99"/>
    <w:semiHidden/>
    <w:unhideWhenUsed/>
    <w:rsid w:val="00E91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1408</Words>
  <Characters>8311</Characters>
  <Application>Microsoft Office Word</Application>
  <DocSecurity>0</DocSecurity>
  <Lines>69</Lines>
  <Paragraphs>19</Paragraphs>
  <ScaleCrop>false</ScaleCrop>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Mirek Rybín</cp:lastModifiedBy>
  <cp:revision>6</cp:revision>
  <dcterms:created xsi:type="dcterms:W3CDTF">2024-04-03T07:25:00Z</dcterms:created>
  <dcterms:modified xsi:type="dcterms:W3CDTF">2025-08-19T20:57:00Z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2024-04-03T07:05:25Z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dcbcaac5-b6f1-4454-a5f5-084da08b694f</vt:lpwstr>
  </property>
  <property fmtid="{D5CDD505-2E9C-101B-9397-08002B2CF9AE}" pid="8" name="MSIP_Label_29db9e61-aac5-4f6e-805d-ceb8cb9983a1_ContentBits">
    <vt:lpwstr>0</vt:lpwstr>
  </property>
</Properties>
</file>